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重大危险源管理制度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为保证及时、准确的辨识危险源，评价其风险程度，并实施有效的控制，制定本制度。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《安全生产法》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《职业健康安全管理体系要求》（GB/T28001-2011）</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《关于开展重大危险源监督管理工作的指导意见》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《水利水电工程施工重大危险源辨识及评价导则》（DL/T5274-2012）</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《危险化学品重大危险源辨识》（GB18218-2009）</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《生产过程危险和危害因素分类与代码》(GB/T13861－2009)等法律、法规及相关标准。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《水利水电工程施工安全管理导则》（SL721-2015）</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全公司范围内所有的人员、设施、场所及生产、生活和服务活动。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主要职责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  </w:t>
      </w:r>
      <w:r>
        <w:rPr>
          <w:rFonts w:hint="eastAsia" w:ascii="仿宋" w:hAnsi="仿宋" w:eastAsia="仿宋" w:cs="仿宋"/>
          <w:sz w:val="28"/>
          <w:szCs w:val="28"/>
          <w:lang w:val="en-US" w:eastAsia="zh-CN"/>
        </w:rPr>
        <w:t>公司安全部负责公司机关活动（管辖）范围内的危险源辨识、评价及控制，并对全公司范围内的危险源进行监管；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  </w:t>
      </w:r>
      <w:r>
        <w:rPr>
          <w:rFonts w:hint="eastAsia" w:ascii="仿宋" w:hAnsi="仿宋" w:eastAsia="仿宋" w:cs="仿宋"/>
          <w:sz w:val="28"/>
          <w:szCs w:val="28"/>
          <w:lang w:val="en-US" w:eastAsia="zh-CN"/>
        </w:rPr>
        <w:t>公司属各部门安全管理部门负责本部门活动（管辖）范围内的危险源辨识、评价及控制，并对本部门范围内的危险源进行监管；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  </w:t>
      </w:r>
      <w:r>
        <w:rPr>
          <w:rFonts w:hint="eastAsia" w:ascii="仿宋" w:hAnsi="仿宋" w:eastAsia="仿宋" w:cs="仿宋"/>
          <w:sz w:val="28"/>
          <w:szCs w:val="28"/>
          <w:lang w:val="en-US" w:eastAsia="zh-CN"/>
        </w:rPr>
        <w:t>项目部安全管理部门负责本项目范围内的危险源辨识、评价及控制，并对本项目范围内的危险源进行监控。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危险源分类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  危险源按不同性质分类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根据GB/T13861－2009《生产过程危险和危害因素分类与代码》的规定，将生产过程中的危险、危害因素分为六类。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5.1.1  物理性危险、危害因素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(1)设备、设施缺陷(强度不够、刚度不够、稳定性差、密封不良、应力集中、外形缺陷、外露运动件、制动器缺陷、控制器缺陷、设备设施其他缺陷)；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(2)防护缺陷(无防护、防护装置和设施缺陷、防护不当、支撑不当、防护距离不够、其他防护缺陷)；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(3)电危害(带电部位裸露、漏电、雷电、静电、电火花、其他电危害)；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(4)噪声危害(机械性噪声、电磁性噪声、流体动力性噪声、其他噪声)；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(5)振动危害(机械性振动、电磁性振动、流体动力性振动、其他振动)；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(6)辐射危害（电磁辐射：X射线、Y射线、a粒子、自粒子、质子、中子、高能电子束等；非电离辐射：紫外线、激光、射频辐射、超高压电场)；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(7)运动物危害(固体抛射物、液体飞溅物、反弹物、岩土滑动、料堆垛滑动、气流卷动、冲击地压、其他运动物危害)；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(8)明火；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(9)能造成灼伤的高温物质(高温气体、高温固体、高温液体、其他高温物质)；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(10)能造成冻伤的低温物质(低温气体、低温固体、低温液体、其他低温物质)；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(11)粉尘与气溶胶(不包括爆炸性、有毒性粉尘与气溶胶)；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作业环境不良(作业环境不良、基础下沉、安全过道缺陷、采光照明不良、有害光照、通风不良、缺氧、空气质量不良、给排水不良、涌水、强迫体位、气温过高、气温过低、气压过高、气压过低、高温高湿、自然灾害、其他作业环境不良)；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(13)信号缺陷(无信号设施、信号选用不当、信号位置不当、信号不清、信号显示不准、其他信号缺陷)；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(14)标志缺陷(无标志、标志不清楚、标志不规范、标志选用不当、标志位置缺陷、其他标志缺陷)；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(15)其他物理性危险和危害因素。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5.1.2  化学性危险、危害因素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(1)易燃易爆性物质(易燃易爆性气体、易燃易爆性液体、易燃易爆性固体、易燃易爆性粉尘与气溶胶、其他易燃易爆性物质)；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(2)自燃性物质；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(3)有毒物质(有毒气体、有毒液体、有毒固体、有毒粉尘与气溶胶、其他有毒物质)；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(4)腐蚀性物质(腐蚀性气体、腐蚀性液体、腐蚀性固体、其他腐蚀性物质)；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(5)其他化学性危险、危害因素。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5.1.3  生物性危险、危害因素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(1)致病微生物(细菌、病毒、其他致病微生物)；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(2)传染病媒介物；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(3)致害动物；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(4)致害植物；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(5)其他生物性危险、危害因素。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5.1.4  心理、生理性危险、危害因素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(1)负荷超限(体力负荷超限、听力负荷超限、视力负荷超限、其他负荷超限)；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(2)健康状况异常；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(3)从事禁忌作业；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(4)心理异常(情绪异常、冒险心理、过度紧张、其他心理异常〕；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(5)辨识功能缺陷(感知延迟、辨识错误、其他辨识功能缺陷)；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(6)其他心理、生理性危险危害因素。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5.1.5  行为性危险、危害因素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(1)指挥错误（指挥失误、违章指挥、其他指挥错误)；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(2)操作失误(误操作、违章作业、其他操作失误)；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(3)监护失误；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(4)其他错误；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(5)其他行为性危险和有害因素。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5.1.6  其他危险、危害因素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5.2  水利水电工程施工的危险源分类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水利水电施工的危险源主要存在于：生产、施工作业区，物资仓储区和生活办公区及管理中。依据伤害方式，水利水电工程施工的危险源可分为以下几类：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高处坠落、物体打击、触电、坍塌、机械伤害、起重伤害、中毒和窒息、火灾和爆炸、车辆伤害、粉尘、噪声、灼烫、其他等。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  危险源辨识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危险源是指：可能导致伤害或疾病、财产损失、工作环境破坏或这些情况组合的根源或状态。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有害因素辨识的原则：（1）科学性（2）系统性（3）全面性（4）预测性。危险有害因素辨识必须采用科学的方法、借用科学的仪器设备和科学的态度进行；不同作业的危险有害因素各有不同，必须熟练掌握运用系统工程原理，从物质、能量及其外力条件或自身变化全面的分析辨识；同时运用科学的技术方法对未知的危险、有害因素进行辨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6.1  分级辨识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危险源的辨识分为公司、公司属部门、项目部进行，由各级安全部门组织，各部门（基层单位）参加，鼓励员工参与危险源辨识工作，系统地识别危险源的存在并确定其特性，以便进一步对其风险进行评价。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6.1.1  </w:t>
      </w:r>
      <w:r>
        <w:rPr>
          <w:rFonts w:hint="eastAsia" w:ascii="仿宋" w:hAnsi="仿宋" w:eastAsia="仿宋" w:cs="仿宋"/>
          <w:sz w:val="28"/>
          <w:szCs w:val="28"/>
          <w:lang w:val="en-US" w:eastAsia="zh-CN"/>
        </w:rPr>
        <w:t>公司以部门为单位，通过现场观察并采用讨论的形式对部门活动（管辖）区域内的危险源进行辨识。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6.1.2  </w:t>
      </w:r>
      <w:r>
        <w:rPr>
          <w:rFonts w:hint="eastAsia" w:ascii="仿宋" w:hAnsi="仿宋" w:eastAsia="仿宋" w:cs="仿宋"/>
          <w:sz w:val="28"/>
          <w:szCs w:val="28"/>
          <w:lang w:val="en-US" w:eastAsia="zh-CN"/>
        </w:rPr>
        <w:t>项目部安全管理部门组织工程技术部门及施工班组对施工现场及办公生活区内的危险源进行辨识。在辨识过程中要根据施工进度或阶段进行，并考虑施工方案、机械设备、人员以及施工场地等因素动态变化带来的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6.1.3  </w:t>
      </w:r>
      <w:r>
        <w:rPr>
          <w:rFonts w:hint="eastAsia" w:ascii="仿宋" w:hAnsi="仿宋" w:eastAsia="仿宋" w:cs="仿宋"/>
          <w:sz w:val="28"/>
          <w:szCs w:val="28"/>
          <w:lang w:val="en-US" w:eastAsia="zh-CN"/>
        </w:rPr>
        <w:t>公司安全部对全公司的危险源辨识进行统一汇总整理编制形成企业的“危险源清单”，每年初进行更新。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6.1.4  </w:t>
      </w:r>
      <w:r>
        <w:rPr>
          <w:rFonts w:hint="eastAsia" w:ascii="仿宋" w:hAnsi="仿宋" w:eastAsia="仿宋" w:cs="仿宋"/>
          <w:sz w:val="28"/>
          <w:szCs w:val="28"/>
          <w:lang w:val="en-US" w:eastAsia="zh-CN"/>
        </w:rPr>
        <w:t>公司属各部门也应形成本部门的“危险源清单”，每年年初进行更新并上报公司安全部。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6.1.5  </w:t>
      </w:r>
      <w:r>
        <w:rPr>
          <w:rFonts w:hint="eastAsia" w:ascii="仿宋" w:hAnsi="仿宋" w:eastAsia="仿宋" w:cs="仿宋"/>
          <w:sz w:val="28"/>
          <w:szCs w:val="28"/>
          <w:lang w:val="en-US" w:eastAsia="zh-CN"/>
        </w:rPr>
        <w:t>项目部在进场后进行全面辨识，形成“危险源清单”，并在施工过程中根据生产进度、场地、工艺等的变化及时进行辨识更新，及时上报安全管理部门。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6.2  辨识方法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危险源辨识可采用：现场观察、任务分析、安全检查表、询问、交谈、危险与可操作性研究及经验分析等。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6.3  </w:t>
      </w:r>
      <w:r>
        <w:rPr>
          <w:rFonts w:hint="eastAsia" w:ascii="仿宋" w:hAnsi="仿宋" w:eastAsia="仿宋" w:cs="仿宋"/>
          <w:sz w:val="28"/>
          <w:szCs w:val="28"/>
          <w:lang w:val="en-US" w:eastAsia="zh-CN"/>
        </w:rPr>
        <w:t>水利水电施工的重大危险源一般应主要从下列几方面考虑：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6.3.1  高边坡作业：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(1)土方边坡高度大于30m或地质缺陷部位的开挖作业；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(2)石方边坡高度大于50m或滑坡地段的开挖作业。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6.3.2  深基坑工程：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(1)开挖深度</w:t>
      </w:r>
      <w:r>
        <w:rPr>
          <w:rFonts w:hint="eastAsia" w:ascii="仿宋" w:hAnsi="仿宋" w:eastAsia="仿宋" w:cs="仿宋"/>
          <w:color w:val="auto"/>
          <w:sz w:val="28"/>
          <w:szCs w:val="28"/>
          <w:lang w:val="en-US" w:eastAsia="zh-CN"/>
        </w:rPr>
        <w:t>超过5m（含）的深基坑作业；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(2)开挖深度虽未超过5m，但地质条件、周围环境和地下管线复杂，或影响毗邻建筑（构筑）物安全的深基坑</w:t>
      </w:r>
      <w:r>
        <w:rPr>
          <w:rFonts w:hint="eastAsia" w:ascii="仿宋" w:hAnsi="仿宋" w:eastAsia="仿宋" w:cs="仿宋"/>
          <w:sz w:val="28"/>
          <w:szCs w:val="28"/>
          <w:lang w:val="en-US" w:eastAsia="zh-CN"/>
        </w:rPr>
        <w:t>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6.3.3  洞挖工程：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(1)断面大于20m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lang w:val="en-US" w:eastAsia="zh-CN"/>
        </w:rPr>
        <w:t>或单洞长度大于50m以及地质缺陷部位开挖；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(2)不能及时支护的部位；地应力大于20MPa或大于岩石强度的1/5或埋深大于500m部位的作业；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(3)洞室临近相互贯通时的作业；当某一工作面爆破作业时，相邻洞室的施工作业。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6.3.4  模板工程及支撑体系：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(1)工具式模板工程：包括滑模、爬模、飞模工程；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(2)混凝土模板支撑工程：搭设高度5m及以上；搭设跨度10m及以上；施工总荷载10kN/m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lang w:val="en-US" w:eastAsia="zh-CN"/>
        </w:rPr>
        <w:t>及以上；集中线荷载15kN/m及以上；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(3)承重支撑体系：用于钢结构安装等满堂支撑体系。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6.3.5  起重吊装及安装拆卸工程：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(1)采用非常规起重设备、方法，且单件起吊重量在10kN及以上的起重吊装工程；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(2)采用起重机械进行安装的工程；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(3)起重机械设备自身的安装、拆卸作业。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6.3.6  脚手架工程：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(1)搭设高度24m以上的落地式钢管脚手架工程；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(2)附着式整体和分片提升脚手架工程；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(3)悬挑式脚手架工程；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(4)吊篮脚手架工程；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(5)自制卸料平台、移动操作平台工程；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(6)新型及异型脚手架工程。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6.3.7  拆除、爆破工程：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(1)围堰拆除作业、爆破拆除作业；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(2)可能影响行人、交通、电力设施、通讯设施或其他建、构筑物安全的拆除作业；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(3)文物保护建筑、优秀历史建筑或历史文化风貌区控制范围的拆除作业。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6.3.8  储存、生产和供给易燃易爆、危险品的设施、设备及易燃易爆、危险品的储运，主要分布于工程项目的施工场所: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(1)油库（储量：汽油20t及以上；柴油50t及以上）；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(2)炸药库（储量：炸药1t）；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(3)压力容器(Pmax不小于0.1Mpa和V不小于100m</w:t>
      </w:r>
      <w:r>
        <w:rPr>
          <w:rFonts w:hint="eastAsia" w:ascii="仿宋" w:hAnsi="仿宋" w:eastAsia="仿宋" w:cs="仿宋"/>
          <w:sz w:val="28"/>
          <w:szCs w:val="28"/>
          <w:vertAlign w:val="superscript"/>
          <w:lang w:val="en-US" w:eastAsia="zh-CN"/>
        </w:rPr>
        <w:t>3</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(4)锅炉（额定蒸发量1.0t/h及以上）；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(5)重件、超大件运输。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6.3.9  人员集中区域及突发事件：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(1)人员集中区域（场所、设施）的活动；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(2)可能发生火灾事故的居住区、办公区、重要设施、重要场所等。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6.3.10  其他：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(1)开挖深度超过16m的人工挖孔桩工程；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(2)地下暗挖、顶管作业、水下作业工程及存在上下交叉的作业；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(3)截流工程、围堰工程；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(4)变电站、变压器；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(5)采用新技术、新工艺、新材料、新设备及尚无相关技术标准的危险性较大的单项工程；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(6)其他特殊情况下可能造成生产安全事故的作业活动、大型设备、设施和场所等。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7  危险源风险分级、评价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7.1  </w:t>
      </w:r>
      <w:r>
        <w:rPr>
          <w:rFonts w:hint="eastAsia" w:ascii="仿宋" w:hAnsi="仿宋" w:eastAsia="仿宋" w:cs="仿宋"/>
          <w:sz w:val="28"/>
          <w:szCs w:val="28"/>
          <w:lang w:val="en-US" w:eastAsia="zh-CN"/>
        </w:rPr>
        <w:t>水利水电工程施工重大危险源应按发生事故的后果分为下列四级：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7.1.1  </w:t>
      </w:r>
      <w:r>
        <w:rPr>
          <w:rFonts w:hint="eastAsia" w:ascii="仿宋" w:hAnsi="仿宋" w:eastAsia="仿宋" w:cs="仿宋"/>
          <w:sz w:val="28"/>
          <w:szCs w:val="28"/>
          <w:lang w:val="en-US" w:eastAsia="zh-CN"/>
        </w:rPr>
        <w:t>可能造成特别重大安全事故的危险源为一级重大危险源；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7.1.2  </w:t>
      </w:r>
      <w:r>
        <w:rPr>
          <w:rFonts w:hint="eastAsia" w:ascii="仿宋" w:hAnsi="仿宋" w:eastAsia="仿宋" w:cs="仿宋"/>
          <w:sz w:val="28"/>
          <w:szCs w:val="28"/>
          <w:lang w:val="en-US" w:eastAsia="zh-CN"/>
        </w:rPr>
        <w:t>可能造成重大安全事故的危险源为二级重大危险源；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7.1.3  </w:t>
      </w:r>
      <w:r>
        <w:rPr>
          <w:rFonts w:hint="eastAsia" w:ascii="仿宋" w:hAnsi="仿宋" w:eastAsia="仿宋" w:cs="仿宋"/>
          <w:sz w:val="28"/>
          <w:szCs w:val="28"/>
          <w:lang w:val="en-US" w:eastAsia="zh-CN"/>
        </w:rPr>
        <w:t>可能造成较大安全事故的危险源为三级重大危险源；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7.1.4  </w:t>
      </w:r>
      <w:r>
        <w:rPr>
          <w:rFonts w:hint="eastAsia" w:ascii="仿宋" w:hAnsi="仿宋" w:eastAsia="仿宋" w:cs="仿宋"/>
          <w:sz w:val="28"/>
          <w:szCs w:val="28"/>
          <w:lang w:val="en-US" w:eastAsia="zh-CN"/>
        </w:rPr>
        <w:t>可能造成一般安全事故的危险源为四级重大危险源。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7.2  </w:t>
      </w:r>
      <w:r>
        <w:rPr>
          <w:rFonts w:hint="eastAsia" w:ascii="仿宋" w:hAnsi="仿宋" w:eastAsia="仿宋" w:cs="仿宋"/>
          <w:sz w:val="28"/>
          <w:szCs w:val="28"/>
          <w:lang w:val="en-US" w:eastAsia="zh-CN"/>
        </w:rPr>
        <w:t>风险评价是指对各类危险进行分析，评估其风险有多么严重，发生的可能性有多大，是否符合法规和标准的要求。目的是确定危险等级，以便制定相应的控制措施。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7.2.1  </w:t>
      </w:r>
      <w:r>
        <w:rPr>
          <w:rFonts w:hint="eastAsia" w:ascii="仿宋" w:hAnsi="仿宋" w:eastAsia="仿宋" w:cs="仿宋"/>
          <w:sz w:val="28"/>
          <w:szCs w:val="28"/>
          <w:lang w:val="en-US" w:eastAsia="zh-CN"/>
        </w:rPr>
        <w:t>项目开工前，应研究制订项目重大危险源管理制度，明确重大危险源辨识、评价和控制的职责、方法、范围、流程等要求。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根据项目重大危险源管理制度制订相应管理办法，并报监理单位、项目法人备案。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7.2.2  </w:t>
      </w:r>
      <w:r>
        <w:rPr>
          <w:rFonts w:hint="eastAsia" w:ascii="仿宋" w:hAnsi="仿宋" w:eastAsia="仿宋" w:cs="仿宋"/>
          <w:sz w:val="28"/>
          <w:szCs w:val="28"/>
          <w:lang w:val="en-US" w:eastAsia="zh-CN"/>
        </w:rPr>
        <w:t>开工前，对施工现场危险设施或场所组织进行重大危险源辨识，并确定危险等级。并将辨识成果及时报监理单位和项目法人。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7.2.3  </w:t>
      </w:r>
      <w:r>
        <w:rPr>
          <w:rFonts w:hint="eastAsia" w:ascii="仿宋" w:hAnsi="仿宋" w:eastAsia="仿宋" w:cs="仿宋"/>
          <w:sz w:val="28"/>
          <w:szCs w:val="28"/>
          <w:lang w:val="en-US" w:eastAsia="zh-CN"/>
        </w:rPr>
        <w:t>委托具有相应安全评价资质的中介机构，对辨识出的重大危险源进行安全评估，并形成评估报告。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sz w:val="28"/>
          <w:szCs w:val="28"/>
          <w:lang w:val="en-US" w:eastAsia="zh-CN"/>
        </w:rPr>
      </w:pPr>
      <w:r>
        <w:rPr>
          <w:rFonts w:hint="eastAsia" w:ascii="黑体" w:hAnsi="黑体" w:eastAsia="黑体" w:cs="黑体"/>
          <w:b w:val="0"/>
          <w:bCs w:val="0"/>
          <w:sz w:val="28"/>
          <w:szCs w:val="28"/>
          <w:lang w:val="en-US" w:eastAsia="zh-CN"/>
        </w:rPr>
        <w:t xml:space="preserve">7.2.4  </w:t>
      </w:r>
      <w:r>
        <w:rPr>
          <w:rFonts w:hint="eastAsia" w:ascii="仿宋" w:hAnsi="仿宋" w:eastAsia="仿宋" w:cs="仿宋"/>
          <w:sz w:val="28"/>
          <w:szCs w:val="28"/>
          <w:lang w:val="en-US" w:eastAsia="zh-CN"/>
        </w:rPr>
        <w:t>安全评估报告应包括下列内容：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(1)安全评估的主要依据；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(2)重大危险源的基本情况；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(3)危险、有害因素的辨识与分析；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(4)发生事故的可能性、类型及严重程度；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(5)可能影响的周边单位和人员；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(6)重大危险源等级评估；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(7)安全管理和技术措施；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(8)评估结论与建议等。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7.2.5  </w:t>
      </w:r>
      <w:r>
        <w:rPr>
          <w:rFonts w:hint="eastAsia" w:ascii="仿宋" w:hAnsi="仿宋" w:eastAsia="仿宋" w:cs="仿宋"/>
          <w:sz w:val="28"/>
          <w:szCs w:val="28"/>
          <w:lang w:val="en-US" w:eastAsia="zh-CN"/>
        </w:rPr>
        <w:t>施工单位应针对重大危险源制订防控措施，并应登记建档。并对重大危险源防控措施进行验收。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8  危险源监控与管理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8.1  </w:t>
      </w:r>
      <w:r>
        <w:rPr>
          <w:rFonts w:hint="eastAsia" w:ascii="仿宋" w:hAnsi="仿宋" w:eastAsia="仿宋" w:cs="仿宋"/>
          <w:sz w:val="28"/>
          <w:szCs w:val="28"/>
          <w:lang w:val="en-US" w:eastAsia="zh-CN"/>
        </w:rPr>
        <w:t>施工单位建立、完善重大危险源安全管理制度，并保证其得到有效落实。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8.2  </w:t>
      </w:r>
      <w:r>
        <w:rPr>
          <w:rFonts w:hint="eastAsia" w:ascii="仿宋" w:hAnsi="仿宋" w:eastAsia="仿宋" w:cs="仿宋"/>
          <w:sz w:val="28"/>
          <w:szCs w:val="28"/>
          <w:lang w:val="en-US" w:eastAsia="zh-CN"/>
        </w:rPr>
        <w:t>施工单位应按照国家有关规定，定期对重大危险源的安全设施和安全监测监控系统进行检测、检验，并进行经常性维护、保养，保证安全设施和安全监测监控系统有效、可靠运行。维护、保养、检测应当作好记录，并由有关人员签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8.3  </w:t>
      </w:r>
      <w:r>
        <w:rPr>
          <w:rFonts w:hint="eastAsia" w:ascii="仿宋" w:hAnsi="仿宋" w:eastAsia="仿宋" w:cs="仿宋"/>
          <w:sz w:val="28"/>
          <w:szCs w:val="28"/>
          <w:lang w:val="en-US" w:eastAsia="zh-CN"/>
        </w:rPr>
        <w:t>应明确重大危险源管理的责任部门和责任人，对重大危险源的安全状况进行定期检查、评估和监控，并做好记录。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8.4  </w:t>
      </w:r>
      <w:r>
        <w:rPr>
          <w:rFonts w:hint="eastAsia" w:ascii="仿宋" w:hAnsi="仿宋" w:eastAsia="仿宋" w:cs="仿宋"/>
          <w:sz w:val="28"/>
          <w:szCs w:val="28"/>
          <w:lang w:val="en-US" w:eastAsia="zh-CN"/>
        </w:rPr>
        <w:t>施工单位组织对重大危险源的管理人员进行培训，使其了解重大危险源的危险特性，熟悉重大危险源安全管理规章制度，掌握安全操作技能和应急措施。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8.5  </w:t>
      </w:r>
      <w:r>
        <w:rPr>
          <w:rFonts w:hint="eastAsia" w:ascii="仿宋" w:hAnsi="仿宋" w:eastAsia="仿宋" w:cs="仿宋"/>
          <w:sz w:val="28"/>
          <w:szCs w:val="28"/>
          <w:lang w:val="en-US" w:eastAsia="zh-CN"/>
        </w:rPr>
        <w:t>施工单位在重大危险源现场设置明显的安全警示标志和警示牌。警示牌内容应包括危险源名称、地点、责任人员、可能的事故类型、控制措施等。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8.6  </w:t>
      </w:r>
      <w:r>
        <w:rPr>
          <w:rFonts w:hint="eastAsia" w:ascii="仿宋" w:hAnsi="仿宋" w:eastAsia="仿宋" w:cs="仿宋"/>
          <w:sz w:val="28"/>
          <w:szCs w:val="28"/>
          <w:lang w:val="en-US" w:eastAsia="zh-CN"/>
        </w:rPr>
        <w:t>施工单位组织制定建设项目重大危险源事故应急预案，建立应急救援组织或配备应急救援人员、必要的防护装备及应急救援器材、设备、物资，并保障其完好和方便使用。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8.7  </w:t>
      </w:r>
      <w:r>
        <w:rPr>
          <w:rFonts w:hint="eastAsia" w:ascii="仿宋" w:hAnsi="仿宋" w:eastAsia="仿宋" w:cs="仿宋"/>
          <w:sz w:val="28"/>
          <w:szCs w:val="28"/>
          <w:lang w:val="en-US" w:eastAsia="zh-CN"/>
        </w:rPr>
        <w:t>将重大危险源可能发生的事故后果和应急措施等信息，以适当方式告知可能受影响的部门、区域及人员。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8.8  </w:t>
      </w:r>
      <w:r>
        <w:rPr>
          <w:rFonts w:hint="eastAsia" w:ascii="仿宋" w:hAnsi="仿宋" w:eastAsia="仿宋" w:cs="仿宋"/>
          <w:sz w:val="28"/>
          <w:szCs w:val="28"/>
          <w:lang w:val="en-US" w:eastAsia="zh-CN"/>
        </w:rPr>
        <w:t>对可能导致重大安全事故的险情，知情部门应按项目管理权限立即报告项目主管部门、安全生产监督机构和工程所在地人民政府，必要时可越级上报至水利部工程建设事故应急指挥部办公室。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对可能造成重大洪水灾害的险情，知情部门应当立即报告所在地防汛指挥部，必要时可越级上报至国家防汛抗旱总指挥部办公室。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8.9  </w:t>
      </w:r>
      <w:r>
        <w:rPr>
          <w:rFonts w:hint="eastAsia" w:ascii="仿宋" w:hAnsi="仿宋" w:eastAsia="仿宋" w:cs="仿宋"/>
          <w:sz w:val="28"/>
          <w:szCs w:val="28"/>
          <w:lang w:val="en-US" w:eastAsia="zh-CN"/>
        </w:rPr>
        <w:t>根据施工进展加强重大危险源的日常监督检查，对危险源实施动态的辨识、评价和控制。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sz w:val="28"/>
          <w:szCs w:val="28"/>
          <w:lang w:val="en-US" w:eastAsia="zh-CN"/>
        </w:rPr>
      </w:pPr>
      <w:r>
        <w:rPr>
          <w:rFonts w:hint="eastAsia" w:ascii="黑体" w:hAnsi="黑体" w:eastAsia="黑体" w:cs="黑体"/>
          <w:b w:val="0"/>
          <w:bCs w:val="0"/>
          <w:sz w:val="28"/>
          <w:szCs w:val="28"/>
          <w:lang w:val="en-US" w:eastAsia="zh-CN"/>
        </w:rPr>
        <w:t xml:space="preserve">8.10  </w:t>
      </w:r>
      <w:r>
        <w:rPr>
          <w:rFonts w:hint="eastAsia" w:ascii="仿宋" w:hAnsi="仿宋" w:eastAsia="仿宋" w:cs="仿宋"/>
          <w:sz w:val="28"/>
          <w:szCs w:val="28"/>
          <w:lang w:val="en-US" w:eastAsia="zh-CN"/>
        </w:rPr>
        <w:t>危险源动态管理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8.10.1  </w:t>
      </w:r>
      <w:r>
        <w:rPr>
          <w:rFonts w:hint="eastAsia" w:ascii="仿宋" w:hAnsi="仿宋" w:eastAsia="仿宋" w:cs="仿宋"/>
          <w:sz w:val="28"/>
          <w:szCs w:val="28"/>
          <w:lang w:val="en-US" w:eastAsia="zh-CN"/>
        </w:rPr>
        <w:t>危险源辨识管理的工作流程</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501974016" behindDoc="0" locked="0" layoutInCell="1" allowOverlap="1">
                <wp:simplePos x="0" y="0"/>
                <wp:positionH relativeFrom="column">
                  <wp:posOffset>262255</wp:posOffset>
                </wp:positionH>
                <wp:positionV relativeFrom="paragraph">
                  <wp:posOffset>95250</wp:posOffset>
                </wp:positionV>
                <wp:extent cx="5377815" cy="1329055"/>
                <wp:effectExtent l="4445" t="5080" r="8890" b="18415"/>
                <wp:wrapNone/>
                <wp:docPr id="29" name="组合 29"/>
                <wp:cNvGraphicFramePr/>
                <a:graphic xmlns:a="http://schemas.openxmlformats.org/drawingml/2006/main">
                  <a:graphicData uri="http://schemas.microsoft.com/office/word/2010/wordprocessingGroup">
                    <wpg:wgp>
                      <wpg:cNvGrpSpPr/>
                      <wpg:grpSpPr>
                        <a:xfrm>
                          <a:off x="0" y="0"/>
                          <a:ext cx="5377815" cy="1329055"/>
                          <a:chOff x="1778" y="10200"/>
                          <a:chExt cx="8469" cy="2093"/>
                        </a:xfrm>
                      </wpg:grpSpPr>
                      <wps:wsp>
                        <wps:cNvPr id="1" name="直接连接符 1"/>
                        <wps:cNvCnPr/>
                        <wps:spPr>
                          <a:xfrm>
                            <a:off x="2676" y="11339"/>
                            <a:ext cx="275" cy="0"/>
                          </a:xfrm>
                          <a:prstGeom prst="line">
                            <a:avLst/>
                          </a:prstGeom>
                          <a:ln w="9525" cap="flat" cmpd="sng">
                            <a:solidFill>
                              <a:srgbClr val="000000"/>
                            </a:solidFill>
                            <a:prstDash val="solid"/>
                            <a:headEnd type="none" w="med" len="med"/>
                            <a:tailEnd type="triangle" w="med" len="med"/>
                          </a:ln>
                        </wps:spPr>
                        <wps:bodyPr upright="1"/>
                      </wps:wsp>
                      <wps:wsp>
                        <wps:cNvPr id="2" name="直接连接符 2"/>
                        <wps:cNvCnPr/>
                        <wps:spPr>
                          <a:xfrm>
                            <a:off x="2049" y="11338"/>
                            <a:ext cx="275" cy="0"/>
                          </a:xfrm>
                          <a:prstGeom prst="line">
                            <a:avLst/>
                          </a:prstGeom>
                          <a:ln w="9525" cap="flat" cmpd="sng">
                            <a:solidFill>
                              <a:srgbClr val="000000"/>
                            </a:solidFill>
                            <a:prstDash val="solid"/>
                            <a:headEnd type="none" w="med" len="med"/>
                            <a:tailEnd type="triangle" w="med" len="med"/>
                          </a:ln>
                        </wps:spPr>
                        <wps:bodyPr upright="1"/>
                      </wps:wsp>
                      <wpg:grpSp>
                        <wpg:cNvPr id="7" name="组合 7"/>
                        <wpg:cNvGrpSpPr/>
                        <wpg:grpSpPr>
                          <a:xfrm rot="16200000">
                            <a:off x="3342" y="11097"/>
                            <a:ext cx="1494" cy="375"/>
                            <a:chOff x="0" y="0"/>
                            <a:chExt cx="2898" cy="444"/>
                          </a:xfrm>
                        </wpg:grpSpPr>
                        <wps:wsp>
                          <wps:cNvPr id="3" name="直接连接符 3"/>
                          <wps:cNvCnPr/>
                          <wps:spPr>
                            <a:xfrm>
                              <a:off x="0" y="158"/>
                              <a:ext cx="0" cy="286"/>
                            </a:xfrm>
                            <a:prstGeom prst="line">
                              <a:avLst/>
                            </a:prstGeom>
                            <a:ln w="9525" cap="flat" cmpd="sng">
                              <a:solidFill>
                                <a:srgbClr val="000000"/>
                              </a:solidFill>
                              <a:prstDash val="solid"/>
                              <a:headEnd type="none" w="med" len="med"/>
                              <a:tailEnd type="triangle" w="med" len="med"/>
                            </a:ln>
                          </wps:spPr>
                          <wps:bodyPr upright="1"/>
                        </wps:wsp>
                        <wps:wsp>
                          <wps:cNvPr id="4" name="直接连接符 4"/>
                          <wps:cNvCnPr/>
                          <wps:spPr>
                            <a:xfrm>
                              <a:off x="2898" y="149"/>
                              <a:ext cx="0" cy="285"/>
                            </a:xfrm>
                            <a:prstGeom prst="line">
                              <a:avLst/>
                            </a:prstGeom>
                            <a:ln w="9525" cap="flat" cmpd="sng">
                              <a:solidFill>
                                <a:srgbClr val="000000"/>
                              </a:solidFill>
                              <a:prstDash val="solid"/>
                              <a:headEnd type="none" w="med" len="med"/>
                              <a:tailEnd type="triangle" w="med" len="med"/>
                            </a:ln>
                          </wps:spPr>
                          <wps:bodyPr upright="1"/>
                        </wps:wsp>
                        <wps:wsp>
                          <wps:cNvPr id="5" name="直接连接符 5"/>
                          <wps:cNvCnPr/>
                          <wps:spPr>
                            <a:xfrm>
                              <a:off x="9" y="156"/>
                              <a:ext cx="2880" cy="0"/>
                            </a:xfrm>
                            <a:prstGeom prst="line">
                              <a:avLst/>
                            </a:prstGeom>
                            <a:ln w="9525" cap="flat" cmpd="sng">
                              <a:solidFill>
                                <a:srgbClr val="000000"/>
                              </a:solidFill>
                              <a:prstDash val="solid"/>
                              <a:headEnd type="none" w="med" len="med"/>
                              <a:tailEnd type="none" w="med" len="med"/>
                            </a:ln>
                          </wps:spPr>
                          <wps:bodyPr upright="1"/>
                        </wps:wsp>
                        <wps:wsp>
                          <wps:cNvPr id="6" name="直接连接符 6"/>
                          <wps:cNvCnPr/>
                          <wps:spPr>
                            <a:xfrm>
                              <a:off x="1386" y="0"/>
                              <a:ext cx="0" cy="143"/>
                            </a:xfrm>
                            <a:prstGeom prst="line">
                              <a:avLst/>
                            </a:prstGeom>
                            <a:ln w="9525" cap="flat" cmpd="sng">
                              <a:solidFill>
                                <a:srgbClr val="000000"/>
                              </a:solidFill>
                              <a:prstDash val="solid"/>
                              <a:headEnd type="none" w="med" len="med"/>
                              <a:tailEnd type="none" w="med" len="med"/>
                            </a:ln>
                          </wps:spPr>
                          <wps:bodyPr upright="1"/>
                        </wps:wsp>
                      </wpg:grpSp>
                      <wps:wsp>
                        <wps:cNvPr id="8" name="直接连接符 8"/>
                        <wps:cNvCnPr/>
                        <wps:spPr>
                          <a:xfrm>
                            <a:off x="8591" y="11984"/>
                            <a:ext cx="275" cy="0"/>
                          </a:xfrm>
                          <a:prstGeom prst="line">
                            <a:avLst/>
                          </a:prstGeom>
                          <a:ln w="9525" cap="flat" cmpd="sng">
                            <a:solidFill>
                              <a:srgbClr val="000000"/>
                            </a:solidFill>
                            <a:prstDash val="solid"/>
                            <a:headEnd type="none" w="med" len="med"/>
                            <a:tailEnd type="triangle" w="med" len="med"/>
                          </a:ln>
                        </wps:spPr>
                        <wps:bodyPr upright="1"/>
                      </wps:wsp>
                      <wpg:grpSp>
                        <wpg:cNvPr id="13" name="组合 13"/>
                        <wpg:cNvGrpSpPr/>
                        <wpg:grpSpPr>
                          <a:xfrm>
                            <a:off x="9040" y="10572"/>
                            <a:ext cx="864" cy="1348"/>
                            <a:chOff x="8980" y="14115"/>
                            <a:chExt cx="878" cy="1521"/>
                          </a:xfrm>
                        </wpg:grpSpPr>
                        <wps:wsp>
                          <wps:cNvPr id="9" name="直接连接符 9"/>
                          <wps:cNvCnPr/>
                          <wps:spPr>
                            <a:xfrm rot="5400000">
                              <a:off x="8806" y="14872"/>
                              <a:ext cx="1521" cy="0"/>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rot="5400000">
                              <a:off x="9492" y="15571"/>
                              <a:ext cx="0" cy="123"/>
                            </a:xfrm>
                            <a:prstGeom prst="line">
                              <a:avLst/>
                            </a:prstGeom>
                            <a:ln w="9525" cap="flat" cmpd="sng">
                              <a:solidFill>
                                <a:srgbClr val="000000"/>
                              </a:solidFill>
                              <a:prstDash val="solid"/>
                              <a:headEnd type="none" w="med" len="med"/>
                              <a:tailEnd type="none" w="med" len="med"/>
                            </a:ln>
                          </wps:spPr>
                          <wps:bodyPr upright="1"/>
                        </wps:wsp>
                        <wps:wsp>
                          <wps:cNvPr id="11" name="直接连接符 11"/>
                          <wps:cNvCnPr/>
                          <wps:spPr>
                            <a:xfrm>
                              <a:off x="9579" y="14848"/>
                              <a:ext cx="279" cy="0"/>
                            </a:xfrm>
                            <a:prstGeom prst="line">
                              <a:avLst/>
                            </a:prstGeom>
                            <a:ln w="9525" cap="flat" cmpd="sng">
                              <a:solidFill>
                                <a:srgbClr val="000000"/>
                              </a:solidFill>
                              <a:prstDash val="solid"/>
                              <a:headEnd type="none" w="med" len="med"/>
                              <a:tailEnd type="triangle" w="med" len="med"/>
                            </a:ln>
                          </wps:spPr>
                          <wps:bodyPr upright="1"/>
                        </wps:wsp>
                        <wps:wsp>
                          <wps:cNvPr id="12" name="直接连接符 12"/>
                          <wps:cNvCnPr/>
                          <wps:spPr>
                            <a:xfrm>
                              <a:off x="8980" y="14116"/>
                              <a:ext cx="577" cy="0"/>
                            </a:xfrm>
                            <a:prstGeom prst="line">
                              <a:avLst/>
                            </a:prstGeom>
                            <a:ln w="9525" cap="flat" cmpd="sng">
                              <a:solidFill>
                                <a:srgbClr val="000000"/>
                              </a:solidFill>
                              <a:prstDash val="solid"/>
                              <a:headEnd type="none" w="med" len="med"/>
                              <a:tailEnd type="none" w="med" len="med"/>
                            </a:ln>
                          </wps:spPr>
                          <wps:bodyPr upright="1"/>
                        </wps:wsp>
                      </wpg:grpSp>
                      <wps:wsp>
                        <wps:cNvPr id="14" name="直接连接符 14"/>
                        <wps:cNvCnPr/>
                        <wps:spPr>
                          <a:xfrm>
                            <a:off x="3281" y="11344"/>
                            <a:ext cx="275" cy="0"/>
                          </a:xfrm>
                          <a:prstGeom prst="line">
                            <a:avLst/>
                          </a:prstGeom>
                          <a:ln w="9525" cap="flat" cmpd="sng">
                            <a:solidFill>
                              <a:srgbClr val="000000"/>
                            </a:solidFill>
                            <a:prstDash val="solid"/>
                            <a:headEnd type="none" w="med" len="med"/>
                            <a:tailEnd type="triangle" w="med" len="med"/>
                          </a:ln>
                        </wps:spPr>
                        <wps:bodyPr upright="1"/>
                      </wps:wsp>
                      <wps:wsp>
                        <wps:cNvPr id="15" name="矩形 15"/>
                        <wps:cNvSpPr/>
                        <wps:spPr>
                          <a:xfrm>
                            <a:off x="4273" y="10324"/>
                            <a:ext cx="1508" cy="4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宋体" w:hAnsi="宋体" w:eastAsia="宋体"/>
                                  <w:spacing w:val="-12"/>
                                  <w:lang w:val="en-US" w:eastAsia="zh-CN"/>
                                </w:rPr>
                              </w:pPr>
                              <w:r>
                                <w:rPr>
                                  <w:rFonts w:hint="eastAsia" w:ascii="宋体" w:hAnsi="宋体" w:eastAsia="宋体"/>
                                  <w:spacing w:val="-12"/>
                                  <w:lang w:val="en-US" w:eastAsia="zh-CN"/>
                                </w:rPr>
                                <w:t>一般危险源</w:t>
                              </w:r>
                            </w:p>
                          </w:txbxContent>
                        </wps:txbx>
                        <wps:bodyPr lIns="18000" tIns="82800" rIns="18000" bIns="46800" upright="1"/>
                      </wps:wsp>
                      <wps:wsp>
                        <wps:cNvPr id="16" name="矩形 16"/>
                        <wps:cNvSpPr/>
                        <wps:spPr>
                          <a:xfrm>
                            <a:off x="1778" y="10249"/>
                            <a:ext cx="338" cy="20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rFonts w:ascii="宋体" w:hAnsi="宋体" w:eastAsia="宋体"/>
                                </w:rPr>
                              </w:pPr>
                              <w:r>
                                <w:rPr>
                                  <w:rFonts w:hint="eastAsia" w:ascii="宋体" w:hAnsi="宋体" w:eastAsia="宋体"/>
                                </w:rPr>
                                <w:t>危险源辨识</w:t>
                              </w:r>
                            </w:p>
                          </w:txbxContent>
                        </wps:txbx>
                        <wps:bodyPr lIns="18000" tIns="10800" rIns="18000" bIns="10800" upright="1"/>
                      </wps:wsp>
                      <wps:wsp>
                        <wps:cNvPr id="17" name="矩形 17"/>
                        <wps:cNvSpPr/>
                        <wps:spPr>
                          <a:xfrm>
                            <a:off x="2326" y="10266"/>
                            <a:ext cx="338" cy="20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ascii="宋体" w:hAnsi="宋体" w:eastAsia="宋体"/>
                                </w:rPr>
                              </w:pPr>
                              <w:r>
                                <w:rPr>
                                  <w:rFonts w:hint="eastAsia" w:ascii="宋体" w:hAnsi="宋体" w:eastAsia="宋体"/>
                                </w:rPr>
                                <w:t>风险评价</w:t>
                              </w:r>
                            </w:p>
                          </w:txbxContent>
                        </wps:txbx>
                        <wps:bodyPr lIns="18000" tIns="46800" rIns="18000" bIns="10800" upright="1"/>
                      </wps:wsp>
                      <wps:wsp>
                        <wps:cNvPr id="18" name="矩形 18"/>
                        <wps:cNvSpPr/>
                        <wps:spPr>
                          <a:xfrm>
                            <a:off x="2953" y="10266"/>
                            <a:ext cx="338" cy="20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rPr>
                                  <w:rFonts w:ascii="宋体" w:hAnsi="宋体" w:eastAsia="宋体"/>
                                </w:rPr>
                              </w:pPr>
                              <w:r>
                                <w:rPr>
                                  <w:rFonts w:hint="eastAsia" w:ascii="宋体" w:hAnsi="宋体" w:eastAsia="宋体"/>
                                  <w:szCs w:val="21"/>
                                </w:rPr>
                                <w:t>危险源清单</w:t>
                              </w:r>
                            </w:p>
                          </w:txbxContent>
                        </wps:txbx>
                        <wps:bodyPr lIns="18000" tIns="10800" rIns="18000" bIns="10800" upright="1"/>
                      </wps:wsp>
                      <wps:wsp>
                        <wps:cNvPr id="19" name="矩形 19"/>
                        <wps:cNvSpPr/>
                        <wps:spPr>
                          <a:xfrm>
                            <a:off x="4281" y="11753"/>
                            <a:ext cx="1182"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0" w:line="200" w:lineRule="exact"/>
                                <w:rPr>
                                  <w:rFonts w:ascii="宋体" w:hAnsi="宋体" w:eastAsia="宋体"/>
                                </w:rPr>
                              </w:pPr>
                              <w:r>
                                <w:rPr>
                                  <w:rFonts w:hint="eastAsia" w:ascii="宋体" w:hAnsi="宋体" w:eastAsia="宋体"/>
                                </w:rPr>
                                <w:t>重大危险源</w:t>
                              </w:r>
                            </w:p>
                          </w:txbxContent>
                        </wps:txbx>
                        <wps:bodyPr lIns="18000" tIns="82800" rIns="18000" bIns="10800" upright="1"/>
                      </wps:wsp>
                      <wps:wsp>
                        <wps:cNvPr id="20" name="直接连接符 20"/>
                        <wps:cNvCnPr/>
                        <wps:spPr>
                          <a:xfrm>
                            <a:off x="5834" y="10559"/>
                            <a:ext cx="275" cy="0"/>
                          </a:xfrm>
                          <a:prstGeom prst="line">
                            <a:avLst/>
                          </a:prstGeom>
                          <a:ln w="9525" cap="flat" cmpd="sng">
                            <a:solidFill>
                              <a:srgbClr val="000000"/>
                            </a:solidFill>
                            <a:prstDash val="solid"/>
                            <a:headEnd type="none" w="med" len="med"/>
                            <a:tailEnd type="triangle" w="med" len="med"/>
                          </a:ln>
                        </wps:spPr>
                        <wps:bodyPr upright="1"/>
                      </wps:wsp>
                      <wps:wsp>
                        <wps:cNvPr id="21" name="矩形 21"/>
                        <wps:cNvSpPr/>
                        <wps:spPr>
                          <a:xfrm>
                            <a:off x="5718" y="11702"/>
                            <a:ext cx="2028" cy="5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宋体" w:hAnsi="宋体" w:eastAsia="宋体"/>
                                  <w:spacing w:val="-12"/>
                                  <w:sz w:val="20"/>
                                </w:rPr>
                              </w:pPr>
                              <w:r>
                                <w:rPr>
                                  <w:rFonts w:hint="eastAsia" w:ascii="宋体" w:hAnsi="宋体" w:eastAsia="宋体"/>
                                  <w:spacing w:val="-12"/>
                                  <w:sz w:val="20"/>
                                </w:rPr>
                                <w:t>控制措施(目标、管理方案、运行控制、应急管理)</w:t>
                              </w:r>
                            </w:p>
                          </w:txbxContent>
                        </wps:txbx>
                        <wps:bodyPr lIns="18000" tIns="18000" rIns="18000" bIns="10800" upright="1"/>
                      </wps:wsp>
                      <wps:wsp>
                        <wps:cNvPr id="22" name="直接连接符 22"/>
                        <wps:cNvCnPr/>
                        <wps:spPr>
                          <a:xfrm>
                            <a:off x="5439" y="11997"/>
                            <a:ext cx="275" cy="0"/>
                          </a:xfrm>
                          <a:prstGeom prst="line">
                            <a:avLst/>
                          </a:prstGeom>
                          <a:ln w="9525" cap="flat" cmpd="sng">
                            <a:solidFill>
                              <a:srgbClr val="000000"/>
                            </a:solidFill>
                            <a:prstDash val="solid"/>
                            <a:headEnd type="none" w="med" len="med"/>
                            <a:tailEnd type="triangle" w="med" len="med"/>
                          </a:ln>
                        </wps:spPr>
                        <wps:bodyPr upright="1"/>
                      </wps:wsp>
                      <wps:wsp>
                        <wps:cNvPr id="23" name="直接连接符 23"/>
                        <wps:cNvCnPr/>
                        <wps:spPr>
                          <a:xfrm>
                            <a:off x="7744" y="11997"/>
                            <a:ext cx="276" cy="0"/>
                          </a:xfrm>
                          <a:prstGeom prst="line">
                            <a:avLst/>
                          </a:prstGeom>
                          <a:ln w="9525" cap="flat" cmpd="sng">
                            <a:solidFill>
                              <a:srgbClr val="000000"/>
                            </a:solidFill>
                            <a:prstDash val="solid"/>
                            <a:headEnd type="none" w="med" len="med"/>
                            <a:tailEnd type="triangle" w="med" len="med"/>
                          </a:ln>
                        </wps:spPr>
                        <wps:bodyPr upright="1"/>
                      </wps:wsp>
                      <wps:wsp>
                        <wps:cNvPr id="24" name="矩形 24"/>
                        <wps:cNvSpPr/>
                        <wps:spPr>
                          <a:xfrm>
                            <a:off x="9909" y="10200"/>
                            <a:ext cx="338" cy="200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宋体" w:hAnsi="宋体" w:eastAsia="宋体"/>
                                  <w:szCs w:val="21"/>
                                </w:rPr>
                                <w:t>动态辨识及时更新</w:t>
                              </w:r>
                              <w:r>
                                <w:rPr>
                                  <w:rFonts w:hint="eastAsia" w:ascii="宋体" w:hAnsi="宋体"/>
                                  <w:szCs w:val="21"/>
                                </w:rPr>
                                <w:t>理</w:t>
                              </w:r>
                            </w:p>
                          </w:txbxContent>
                        </wps:txbx>
                        <wps:bodyPr lIns="21600" tIns="18000" rIns="18000" bIns="18000" upright="1"/>
                      </wps:wsp>
                      <wps:wsp>
                        <wps:cNvPr id="25" name="矩形 25"/>
                        <wps:cNvSpPr/>
                        <wps:spPr>
                          <a:xfrm>
                            <a:off x="8870" y="11766"/>
                            <a:ext cx="595" cy="4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rPr>
                              </w:pPr>
                              <w:r>
                                <w:rPr>
                                  <w:rFonts w:hint="eastAsia" w:ascii="宋体" w:hAnsi="宋体" w:eastAsia="宋体"/>
                                  <w:spacing w:val="-12"/>
                                </w:rPr>
                                <w:t>备案</w:t>
                              </w:r>
                            </w:p>
                            <w:p/>
                          </w:txbxContent>
                        </wps:txbx>
                        <wps:bodyPr lIns="3600" tIns="45720" rIns="18000" bIns="45720" upright="1"/>
                      </wps:wsp>
                      <wps:wsp>
                        <wps:cNvPr id="26" name="矩形 26"/>
                        <wps:cNvSpPr/>
                        <wps:spPr>
                          <a:xfrm>
                            <a:off x="3557" y="10251"/>
                            <a:ext cx="338" cy="20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宋体" w:hAnsi="宋体" w:eastAsia="宋体"/>
                                </w:rPr>
                              </w:pPr>
                              <w:r>
                                <w:rPr>
                                  <w:rFonts w:hint="eastAsia" w:ascii="宋体" w:hAnsi="宋体" w:eastAsia="宋体"/>
                                </w:rPr>
                                <w:t>危险源分级管理</w:t>
                              </w:r>
                            </w:p>
                          </w:txbxContent>
                        </wps:txbx>
                        <wps:bodyPr lIns="18000" tIns="54000" rIns="18000" bIns="18000" upright="1"/>
                      </wps:wsp>
                      <wps:wsp>
                        <wps:cNvPr id="27" name="矩形 27"/>
                        <wps:cNvSpPr/>
                        <wps:spPr>
                          <a:xfrm>
                            <a:off x="6122" y="10332"/>
                            <a:ext cx="2879"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spacing w:val="-12"/>
                                </w:rPr>
                              </w:pPr>
                              <w:r>
                                <w:rPr>
                                  <w:rFonts w:hint="eastAsia" w:ascii="宋体" w:hAnsi="宋体" w:eastAsia="宋体"/>
                                  <w:spacing w:val="-12"/>
                                </w:rPr>
                                <w:t>日常管理、运行控制</w:t>
                              </w:r>
                            </w:p>
                            <w:p>
                              <w:pPr>
                                <w:spacing w:line="240" w:lineRule="exact"/>
                                <w:jc w:val="center"/>
                                <w:rPr>
                                  <w:rFonts w:ascii="宋体" w:hAnsi="宋体"/>
                                </w:rPr>
                              </w:pPr>
                              <w:r>
                                <w:rPr>
                                  <w:rFonts w:hint="eastAsia" w:ascii="宋体" w:hAnsi="宋体"/>
                                  <w:spacing w:val="-12"/>
                                </w:rPr>
                                <w:t>建档</w:t>
                              </w:r>
                            </w:p>
                            <w:p/>
                          </w:txbxContent>
                        </wps:txbx>
                        <wps:bodyPr upright="1"/>
                      </wps:wsp>
                      <wps:wsp>
                        <wps:cNvPr id="28" name="矩形 28"/>
                        <wps:cNvSpPr/>
                        <wps:spPr>
                          <a:xfrm>
                            <a:off x="8024" y="11775"/>
                            <a:ext cx="595" cy="4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宋体" w:hAnsi="宋体" w:eastAsia="宋体"/>
                                </w:rPr>
                              </w:pPr>
                              <w:r>
                                <w:rPr>
                                  <w:rFonts w:hint="eastAsia" w:ascii="宋体" w:hAnsi="宋体" w:eastAsia="宋体"/>
                                  <w:spacing w:val="-12"/>
                                </w:rPr>
                                <w:t>建档</w:t>
                              </w:r>
                            </w:p>
                            <w:p/>
                          </w:txbxContent>
                        </wps:txbx>
                        <wps:bodyPr lIns="3600" tIns="45720" rIns="18000" bIns="45720" upright="1"/>
                      </wps:wsp>
                    </wpg:wgp>
                  </a:graphicData>
                </a:graphic>
              </wp:anchor>
            </w:drawing>
          </mc:Choice>
          <mc:Fallback>
            <w:pict>
              <v:group id="_x0000_s1026" o:spid="_x0000_s1026" o:spt="203" style="position:absolute;left:0pt;margin-left:20.65pt;margin-top:7.5pt;height:104.65pt;width:423.45pt;z-index:501974016;mso-width-relative:page;mso-height-relative:page;" coordorigin="1778,10200" coordsize="8469,2093" o:gfxdata="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">
                <o:lock v:ext="edit" aspectratio="f"/>
                <v:line id="_x0000_s1026" o:spid="_x0000_s1026" o:spt="20" style="position:absolute;left:2676;top:11339;height:0;width:275;"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2049;top:11338;height:0;width:275;"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id="_x0000_s1026" o:spid="_x0000_s1026" o:spt="203" style="position:absolute;left:3342;top:11097;height:375;width:1494;rotation:-5898240f;" coordsize="2898,444" o:gfxdata="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Wzz1q+AAAA2gAAAA8AAAAAAAAAAQAgAAAAIgAAAGRycy9kb3ducmV2Lnht&#10;bFBLAQIUABQAAAAIAIdO4kAzLwWeOwAAADkAAAAVAAAAAAAAAAEAIAAAAA0BAABkcnMvZ3JvdXBz&#10;aGFwZXhtbC54bWxQSwUGAAAAAAYABgBgAQAAygMAAAAA&#10;">
                  <o:lock v:ext="edit" aspectratio="f"/>
                  <v:line id="_x0000_s1026" o:spid="_x0000_s1026" o:spt="20" style="position:absolute;left:0;top:158;height:286;width:0;"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898;top:149;height:285;width: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9;top:156;height:0;width:2880;"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386;top:0;height:143;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_x0000_s1026" o:spid="_x0000_s1026" o:spt="20" style="position:absolute;left:8591;top:11984;height:0;width:275;"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id="_x0000_s1026" o:spid="_x0000_s1026" o:spt="203" style="position:absolute;left:9040;top:10572;height:1348;width:864;" coordorigin="8980,14115" coordsize="878,1521"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_x0000_s1026" o:spid="_x0000_s1026" o:spt="20" style="position:absolute;left:8806;top:14872;height:0;width:1521;rotation:5898240f;" filled="f" stroked="t" coordsize="21600,21600" o:gfxdata="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fucR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9492;top:15571;height:123;width:0;rotation:5898240f;" filled="f" stroked="t" coordsize="21600,21600" o:gfxdata="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etAk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9579;top:14848;height:0;width:279;"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980;top:14116;height:0;width:577;"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line id="_x0000_s1026" o:spid="_x0000_s1026" o:spt="20" style="position:absolute;left:3281;top:11344;height:0;width:275;" filled="f" stroked="t"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4273;top:10324;height:483;width:1508;" fillcolor="#FFFFFF" filled="t" stroked="t" coordsize="21600,21600" o:gfxdata="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ihA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2.3mm,0.5mm,1.3mm">
                    <w:txbxContent>
                      <w:p>
                        <w:pPr>
                          <w:jc w:val="center"/>
                          <w:rPr>
                            <w:rFonts w:hint="default" w:ascii="宋体" w:hAnsi="宋体" w:eastAsia="宋体"/>
                            <w:spacing w:val="-12"/>
                            <w:lang w:val="en-US" w:eastAsia="zh-CN"/>
                          </w:rPr>
                        </w:pPr>
                        <w:r>
                          <w:rPr>
                            <w:rFonts w:hint="eastAsia" w:ascii="宋体" w:hAnsi="宋体" w:eastAsia="宋体"/>
                            <w:spacing w:val="-12"/>
                            <w:lang w:val="en-US" w:eastAsia="zh-CN"/>
                          </w:rPr>
                          <w:t>一般危险源</w:t>
                        </w:r>
                      </w:p>
                    </w:txbxContent>
                  </v:textbox>
                </v:rect>
                <v:rect id="_x0000_s1026" o:spid="_x0000_s1026" o:spt="1" style="position:absolute;left:1778;top:10249;height:2002;width:338;" fillcolor="#FFFFFF" filled="t" stroked="t" coordsize="21600,21600" o:gfxdata="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yWrV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5mm,0.3mm,0.5mm,0.3mm">
                    <w:txbxContent>
                      <w:p>
                        <w:pPr>
                          <w:spacing w:before="120" w:beforeLines="50"/>
                          <w:jc w:val="center"/>
                          <w:rPr>
                            <w:rFonts w:ascii="宋体" w:hAnsi="宋体" w:eastAsia="宋体"/>
                          </w:rPr>
                        </w:pPr>
                        <w:r>
                          <w:rPr>
                            <w:rFonts w:hint="eastAsia" w:ascii="宋体" w:hAnsi="宋体" w:eastAsia="宋体"/>
                          </w:rPr>
                          <w:t>危险源辨识</w:t>
                        </w:r>
                      </w:p>
                    </w:txbxContent>
                  </v:textbox>
                </v:rect>
                <v:rect id="_x0000_s1026" o:spid="_x0000_s1026" o:spt="1" style="position:absolute;left:2326;top:10266;height:2002;width:338;" fillcolor="#FFFFFF" filled="t" stroked="t" coordsize="21600,21600" o:gfxdata="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TGtW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1.3mm,0.5mm,0.3mm">
                    <w:txbxContent>
                      <w:p>
                        <w:pPr>
                          <w:rPr>
                            <w:rFonts w:hint="eastAsia"/>
                          </w:rPr>
                        </w:pPr>
                      </w:p>
                      <w:p>
                        <w:pPr>
                          <w:rPr>
                            <w:rFonts w:hint="eastAsia" w:ascii="宋体" w:hAnsi="宋体" w:eastAsia="宋体"/>
                          </w:rPr>
                        </w:pPr>
                        <w:r>
                          <w:rPr>
                            <w:rFonts w:hint="eastAsia" w:ascii="宋体" w:hAnsi="宋体" w:eastAsia="宋体"/>
                          </w:rPr>
                          <w:t>风险评价</w:t>
                        </w:r>
                      </w:p>
                    </w:txbxContent>
                  </v:textbox>
                </v:rect>
                <v:rect id="_x0000_s1026" o:spid="_x0000_s1026" o:spt="1" style="position:absolute;left:2953;top:10266;height:2002;width:338;" fillcolor="#FFFFFF" filled="t" stroked="t" coordsize="21600,21600" o:gfxdata="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Gls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3mm,0.5mm,0.3mm">
                    <w:txbxContent>
                      <w:p>
                        <w:pPr>
                          <w:spacing w:before="120" w:beforeLines="50"/>
                          <w:rPr>
                            <w:rFonts w:ascii="宋体" w:hAnsi="宋体" w:eastAsia="宋体"/>
                          </w:rPr>
                        </w:pPr>
                        <w:r>
                          <w:rPr>
                            <w:rFonts w:hint="eastAsia" w:ascii="宋体" w:hAnsi="宋体" w:eastAsia="宋体"/>
                            <w:szCs w:val="21"/>
                          </w:rPr>
                          <w:t>危险源清单</w:t>
                        </w:r>
                      </w:p>
                    </w:txbxContent>
                  </v:textbox>
                </v:rect>
                <v:rect id="_x0000_s1026" o:spid="_x0000_s1026" o:spt="1" style="position:absolute;left:4281;top:11753;height:462;width:1182;" fillcolor="#FFFFFF" filled="t" stroked="t" coordsize="21600,21600" o:gfxdata="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sIn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2.3mm,0.5mm,0.3mm">
                    <w:txbxContent>
                      <w:p>
                        <w:pPr>
                          <w:spacing w:after="0" w:line="200" w:lineRule="exact"/>
                          <w:rPr>
                            <w:rFonts w:ascii="宋体" w:hAnsi="宋体" w:eastAsia="宋体"/>
                          </w:rPr>
                        </w:pPr>
                        <w:r>
                          <w:rPr>
                            <w:rFonts w:hint="eastAsia" w:ascii="宋体" w:hAnsi="宋体" w:eastAsia="宋体"/>
                          </w:rPr>
                          <w:t>重大危险源</w:t>
                        </w:r>
                      </w:p>
                    </w:txbxContent>
                  </v:textbox>
                </v:rect>
                <v:line id="_x0000_s1026" o:spid="_x0000_s1026" o:spt="20" style="position:absolute;left:5834;top:10559;height:0;width:275;"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5718;top:11702;height:591;width:2028;" fillcolor="#FFFFFF" filled="t" stroked="t" coordsize="21600,21600" o:gfxdata="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jS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5mm,0.5mm,0.5mm,0.3mm">
                    <w:txbxContent>
                      <w:p>
                        <w:pPr>
                          <w:spacing w:line="240" w:lineRule="exact"/>
                          <w:rPr>
                            <w:rFonts w:ascii="宋体" w:hAnsi="宋体" w:eastAsia="宋体"/>
                            <w:spacing w:val="-12"/>
                            <w:sz w:val="20"/>
                          </w:rPr>
                        </w:pPr>
                        <w:r>
                          <w:rPr>
                            <w:rFonts w:hint="eastAsia" w:ascii="宋体" w:hAnsi="宋体" w:eastAsia="宋体"/>
                            <w:spacing w:val="-12"/>
                            <w:sz w:val="20"/>
                          </w:rPr>
                          <w:t>控制措施(目标、管理方案、运行控制、应急管理)</w:t>
                        </w:r>
                      </w:p>
                    </w:txbxContent>
                  </v:textbox>
                </v:rect>
                <v:line id="_x0000_s1026" o:spid="_x0000_s1026" o:spt="20" style="position:absolute;left:5439;top:11997;height:0;width:275;"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744;top:11997;height:0;width:276;"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909;top:10200;height:2002;width:338;" fillcolor="#FFFFFF" filled="t" stroked="t" coordsize="21600,21600" o:gfxdata="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d2rO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0.6mm,0.5mm,0.5mm,0.5mm">
                    <w:txbxContent>
                      <w:p>
                        <w:pPr>
                          <w:spacing w:line="240" w:lineRule="exact"/>
                        </w:pPr>
                        <w:r>
                          <w:rPr>
                            <w:rFonts w:hint="eastAsia" w:ascii="宋体" w:hAnsi="宋体" w:eastAsia="宋体"/>
                            <w:szCs w:val="21"/>
                          </w:rPr>
                          <w:t>动态辨识及时更新</w:t>
                        </w:r>
                        <w:r>
                          <w:rPr>
                            <w:rFonts w:hint="eastAsia" w:ascii="宋体" w:hAnsi="宋体"/>
                            <w:szCs w:val="21"/>
                          </w:rPr>
                          <w:t>理</w:t>
                        </w:r>
                      </w:p>
                    </w:txbxContent>
                  </v:textbox>
                </v:rect>
                <v:rect id="_x0000_s1026" o:spid="_x0000_s1026" o:spt="1" style="position:absolute;left:8870;top:11766;height:413;width:595;" fillcolor="#FFFFFF" filled="t" stroked="t" coordsize="21600,21600" o:gfxdata="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mZ3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1mm,1.27mm,0.5mm,1.27mm">
                    <w:txbxContent>
                      <w:p>
                        <w:pPr>
                          <w:spacing w:line="240" w:lineRule="exact"/>
                          <w:jc w:val="center"/>
                          <w:rPr>
                            <w:rFonts w:ascii="宋体" w:hAnsi="宋体" w:eastAsia="宋体"/>
                          </w:rPr>
                        </w:pPr>
                        <w:r>
                          <w:rPr>
                            <w:rFonts w:hint="eastAsia" w:ascii="宋体" w:hAnsi="宋体" w:eastAsia="宋体"/>
                            <w:spacing w:val="-12"/>
                          </w:rPr>
                          <w:t>备案</w:t>
                        </w:r>
                      </w:p>
                      <w:p/>
                    </w:txbxContent>
                  </v:textbox>
                </v:rect>
                <v:rect id="_x0000_s1026" o:spid="_x0000_s1026" o:spt="1" style="position:absolute;left:3557;top:10251;height:2003;width:338;" fillcolor="#FFFFFF" filled="t" stroked="t" coordsize="21600,21600" o:gfxdata="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bxOh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1.5mm,0.5mm,0.5mm">
                    <w:txbxContent>
                      <w:p>
                        <w:pPr>
                          <w:spacing w:line="260" w:lineRule="exact"/>
                          <w:rPr>
                            <w:rFonts w:hint="eastAsia" w:ascii="宋体" w:hAnsi="宋体" w:eastAsia="宋体"/>
                          </w:rPr>
                        </w:pPr>
                        <w:r>
                          <w:rPr>
                            <w:rFonts w:hint="eastAsia" w:ascii="宋体" w:hAnsi="宋体" w:eastAsia="宋体"/>
                          </w:rPr>
                          <w:t>危险源分级管理</w:t>
                        </w:r>
                      </w:p>
                    </w:txbxContent>
                  </v:textbox>
                </v:rect>
                <v:rect id="_x0000_s1026" o:spid="_x0000_s1026" o:spt="1" style="position:absolute;left:6122;top:10332;height:462;width:2879;"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eastAsia="宋体"/>
                            <w:spacing w:val="-12"/>
                          </w:rPr>
                        </w:pPr>
                        <w:r>
                          <w:rPr>
                            <w:rFonts w:hint="eastAsia" w:ascii="宋体" w:hAnsi="宋体" w:eastAsia="宋体"/>
                            <w:spacing w:val="-12"/>
                          </w:rPr>
                          <w:t>日常管理、运行控制</w:t>
                        </w:r>
                      </w:p>
                      <w:p>
                        <w:pPr>
                          <w:spacing w:line="240" w:lineRule="exact"/>
                          <w:jc w:val="center"/>
                          <w:rPr>
                            <w:rFonts w:ascii="宋体" w:hAnsi="宋体"/>
                          </w:rPr>
                        </w:pPr>
                        <w:r>
                          <w:rPr>
                            <w:rFonts w:hint="eastAsia" w:ascii="宋体" w:hAnsi="宋体"/>
                            <w:spacing w:val="-12"/>
                          </w:rPr>
                          <w:t>建档</w:t>
                        </w:r>
                      </w:p>
                      <w:p/>
                    </w:txbxContent>
                  </v:textbox>
                </v:rect>
                <v:rect id="_x0000_s1026" o:spid="_x0000_s1026" o:spt="1" style="position:absolute;left:8024;top:11775;height:413;width:595;" fillcolor="#FFFFFF" filled="t" stroked="t" coordsize="21600,21600" o:gfxdata="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6YMnW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0.1mm,1.27mm,0.5mm,1.27mm">
                    <w:txbxContent>
                      <w:p>
                        <w:pPr>
                          <w:spacing w:line="240" w:lineRule="exact"/>
                          <w:jc w:val="center"/>
                          <w:rPr>
                            <w:rFonts w:ascii="宋体" w:hAnsi="宋体" w:eastAsia="宋体"/>
                          </w:rPr>
                        </w:pPr>
                        <w:r>
                          <w:rPr>
                            <w:rFonts w:hint="eastAsia" w:ascii="宋体" w:hAnsi="宋体" w:eastAsia="宋体"/>
                            <w:spacing w:val="-12"/>
                          </w:rPr>
                          <w:t>建档</w:t>
                        </w:r>
                      </w:p>
                      <w:p/>
                    </w:txbxContent>
                  </v:textbox>
                </v:rect>
              </v:group>
            </w:pict>
          </mc:Fallback>
        </mc:AlternateConten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8.10.2  </w:t>
      </w:r>
      <w:r>
        <w:rPr>
          <w:rFonts w:hint="eastAsia" w:ascii="仿宋" w:hAnsi="仿宋" w:eastAsia="仿宋" w:cs="仿宋"/>
          <w:sz w:val="28"/>
          <w:szCs w:val="28"/>
          <w:lang w:val="en-US" w:eastAsia="zh-CN"/>
        </w:rPr>
        <w:t>危险源动态更新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危险源实施动态管理。在不同时段、不同施工阶段，应对危险源实施动态辨识、评价，及时更新危险源清单和评价结果，对已消除的危险源要及时撤销。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一般情况下：公司每年年初进行一次辨识更新；项目部在进场后根据上报的施工组织设计进行一次全面辨识，并根据施工进度安排制定更新周期，且不能超过一年。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此外，如有下列情况时，须重新进行辨识评价：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(1)法律、法规、标准发生变更；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(2)管理方针发生变化；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(3)活动、产品、服务或运行条件发生变化；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(4)引进新技术、新工艺、新设备、新材料时；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(5)事故、事件发生后和整改不符合要求；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(6)相关方有合理抱怨时；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(7)管理评审、内、外部审核的要求；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(8)目标、管理方案完成后，对残余风险的评价；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(9)其他情况需要时。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沈阳鑫通建设工程有限公司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二〇一九年一月十五日</w:t>
      </w:r>
    </w:p>
    <w:p/>
    <w:sectPr>
      <w:pgSz w:w="11910" w:h="16840"/>
      <w:pgMar w:top="1587" w:right="1474" w:bottom="1474" w:left="1587"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65789"/>
    <w:rsid w:val="38165789"/>
    <w:rsid w:val="705D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2019-11-10T01:58:00Z</dcterms:created>
  <dc:creator>走走停停</dc:creator>
  <cp:lastModifiedBy>走走停停</cp:lastModifiedBy>
  <dcterms:modified xsi:type="dcterms:W3CDTF">2019-11-10T01:59:35Z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