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自然灾害及事故隐患预测预警管理制度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  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制度目的是在项目施工过程中，因安全管理保证、监督体系的管理因素和外来因素带来得体系运行不畅，导致安全管理即将失控，测量出不可接受风险的程度，以及如何采取措施进行纠正的过程,通过预测、预测预警、预防的手段来保证公司的承建施工项目处于安全状态。本制度适用于公司所有项目部的安全预测预警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  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2.1  安全预测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指的是结合行业、公司安全现状，通过提前通报、检查、监督等方式手段，通过各有关职能部门的数据搜集监测能力，拓展信息通道，准确迅速地掌握可能出现的不安全动向，并确定符合公司总体安全要求的防范标准和参数，有效地控制住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别</w:t>
      </w:r>
      <w:r>
        <w:rPr>
          <w:rFonts w:hint="eastAsia" w:ascii="仿宋" w:hAnsi="仿宋" w:eastAsia="仿宋" w:cs="仿宋"/>
          <w:sz w:val="28"/>
          <w:szCs w:val="28"/>
        </w:rPr>
        <w:t>在建项目的不安全苗头。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2.2  安全预警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指通过对项目施工中安全管理状况程度（过程）的检测，对出现公司不可接受的风险进行警报。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2.3  安全预防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在安全预测的基础上达到预测预警的项目，按照公司和预测预警的要求制定纠正、预防措施，并把措施的执行效果进行反馈。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  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3.1  </w:t>
      </w:r>
      <w:r>
        <w:rPr>
          <w:rFonts w:hint="eastAsia" w:ascii="仿宋" w:hAnsi="仿宋" w:eastAsia="仿宋" w:cs="仿宋"/>
          <w:sz w:val="28"/>
          <w:szCs w:val="28"/>
        </w:rPr>
        <w:t>公司安全生产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委员会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安全生产标准化领导小组</w:t>
      </w:r>
      <w:r>
        <w:rPr>
          <w:rFonts w:hint="eastAsia" w:ascii="仿宋" w:hAnsi="仿宋" w:eastAsia="仿宋" w:cs="仿宋"/>
          <w:sz w:val="28"/>
          <w:szCs w:val="28"/>
        </w:rPr>
        <w:t>负责安全预测预警系统的管理。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3.2  </w:t>
      </w:r>
      <w:r>
        <w:rPr>
          <w:rFonts w:hint="eastAsia" w:ascii="仿宋" w:hAnsi="仿宋" w:eastAsia="仿宋" w:cs="仿宋"/>
          <w:sz w:val="28"/>
          <w:szCs w:val="28"/>
        </w:rPr>
        <w:t>安全部是预测预警机制的主要职能部门，负责各项数据的采集统计分析，将出现的预测预警级别上报公司安全生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产委员会</w:t>
      </w:r>
      <w:r>
        <w:rPr>
          <w:rFonts w:hint="eastAsia" w:ascii="仿宋" w:hAnsi="仿宋" w:eastAsia="仿宋" w:cs="仿宋"/>
          <w:sz w:val="28"/>
          <w:szCs w:val="28"/>
        </w:rPr>
        <w:t>，负责对预测预警解除时的安全管理效果监视。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3.3  </w:t>
      </w:r>
      <w:r>
        <w:rPr>
          <w:rFonts w:hint="eastAsia" w:ascii="仿宋" w:hAnsi="仿宋" w:eastAsia="仿宋" w:cs="仿宋"/>
          <w:sz w:val="28"/>
          <w:szCs w:val="28"/>
        </w:rPr>
        <w:t>项目部负责按照预测预警内容上报反馈数据，项目工程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技术科</w:t>
      </w:r>
      <w:r>
        <w:rPr>
          <w:rFonts w:hint="eastAsia" w:ascii="仿宋" w:hAnsi="仿宋" w:eastAsia="仿宋" w:cs="仿宋"/>
          <w:sz w:val="28"/>
          <w:szCs w:val="28"/>
        </w:rPr>
        <w:t>负责对工期比例和措施落实情况的上报，项目综合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</w:rPr>
        <w:t>负责对进场人员比例的上报，项目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质量</w:t>
      </w:r>
      <w:r>
        <w:rPr>
          <w:rFonts w:hint="eastAsia" w:ascii="仿宋" w:hAnsi="仿宋" w:eastAsia="仿宋" w:cs="仿宋"/>
          <w:sz w:val="28"/>
          <w:szCs w:val="28"/>
        </w:rPr>
        <w:t>安全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sz w:val="28"/>
          <w:szCs w:val="28"/>
        </w:rPr>
        <w:t>负责对现场控制情况的上报。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  管理内容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4.1  自然灾害预测预警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4.1.1  预测预警分级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预警信息分为：蓝、黄、橙、红四种颜色等级，严重程度依次加重，分别表示一般、较重、严重、特别严重，蓝色为最低级别预警，红色为最高级别预警。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4.1.2  接警发布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相关单位、个人在获取预警信息后，应立即通知本单位主要负责人或安全管理部门，由其发布预警信息，并采取相应措施或启动相应等级应急预案。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项目部在通过检测、分析等手段获取泥石流、山体滑塌等自然灾害事故隐患时，可采取先行撤离危险区域作业人员，并立即通知项目负责人或安全管理部门，由其发布预警信息，并采取相应措施或启动相应等级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4.1.3  预警措施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项目部发出预警信息后，应服从当地政府相关部门及上级单位的统一指挥、协调、安排。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预警信息发布后应根据预警级别采取以下预警措施：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蓝色预警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①做好防灾准备工作。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②采取适当措施，保证安全，暂停危险区域作业。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③驾驶人员应当注意道路积水和交通阻塞，确保安全。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黄色预警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①做好防灾工作。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②交通安全主管部门应当根据路况采取交通管制措施，实行交通引导。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③暂停作业，撤离危险地带人员。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橙色预警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①做好防灾应急工作。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②暂停作业，撤离危险地带人员。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③注意防范可能引发次生灾害。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红色预警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①做好防灾应急和抢险工作。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②停止一切作业，撤离危险地带人员。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③注意防范可能引发次生灾害。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4.1.4  解除预警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在政府、上级单位以及项目所在地水文、气象等相关部门发布预警解除、降级通知后，应对作业环境、区域进行相应检测，检测确认安全后方可宣告相应预警解除，或降低预警应对措施等级。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4.2  事故隐患预测预警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4.2.1  预测预警分级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事故隐患预测预警分为：黄色预警（一般）、橙色预警（严重）、红色预警（高危）三个级别。项目部安全生产体系健全，安全管理基本受控是可标记为绿色，表示正常。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存在以下情况时，应评定为黄色预警（一般）。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①事故隐患未按期整改或同样事故隐患反复出现得不到整改。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②存在个别重点隐患问题；危险性较大的分部分项工程未编写专向安全施工方案。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③安全管理人员配备不足、安全管理机构不健全。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④应急救援预案或应急处置预案未按要求建立。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存在以下情况时，应评定为橙色预警（严重）。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①重大隐患未按期整改。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②施工现场管理混乱，违反安全生产强制性条文。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③安全生产考核不合格。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④对达到二级风险的施工环节未进行预防预控。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⑤已连续两次达到黄色预警后仍未进行落实整改。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(3)</w:t>
      </w:r>
      <w:r>
        <w:rPr>
          <w:rFonts w:hint="eastAsia" w:ascii="仿宋" w:hAnsi="仿宋" w:eastAsia="仿宋" w:cs="仿宋"/>
          <w:sz w:val="28"/>
          <w:szCs w:val="28"/>
        </w:rPr>
        <w:t>存在以下情况时，应评定为红色预警（高危）。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①施工现场管理混乱，发生重伤、死亡事故。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②达到橙色预警后仍未按期落实整改。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③被政府主管部门通报或被上级单位约谈处罚。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④对达到一级风险的施工环节未进行预防预控。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4.2.2  预警发布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安全部定期、不定期将检查、预测出的事故隐患，确定预警级别，向项目相关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sz w:val="28"/>
          <w:szCs w:val="28"/>
        </w:rPr>
        <w:t>室、工区及分包队下发事故隐患整改通知书（预警通报），并要求采取相应措施，限期完成整改。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4.2.3  预警措施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sz w:val="28"/>
          <w:szCs w:val="28"/>
        </w:rPr>
        <w:t>对达到黄色预警（一般）的单位，将由项目部提出预警通报，并将其列为日常及定期检查重点，给予特别关注。要求该单位采取有效措施及时进行纠正与改进。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对达到橙色预警（严重）级别的单位，将由项目部下发整改通知书。要求该单位在局部范围内停止施工，开展专项治理，治理结束后，形成书面整改报告，并附相关验证材料。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(3)</w:t>
      </w:r>
      <w:r>
        <w:rPr>
          <w:rFonts w:hint="eastAsia" w:ascii="仿宋" w:hAnsi="仿宋" w:eastAsia="仿宋" w:cs="仿宋"/>
          <w:sz w:val="28"/>
          <w:szCs w:val="28"/>
        </w:rPr>
        <w:t>对达到红色预警（高危）级别的单位，将由项目部下发整改通知书，对该单位的负责人及相关管理人员进行“预警约谈”。同时，项目部成立专项治理小组，对现场进行全面停工整治。并按照项目《安全生产奖惩管理制度》有关规定给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4.2.4  解除预警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达到橙色、红色预警级别的单位整改完毕后，由该单位向项目部提出书面申请，对本单位的安全预警级别进行重新评定。项目部将对该单位的整改落实情况进行连续跟踪、监测，如原预警内容没有重复发生迹象，则取消或降低预警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5  相关记录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5.1  </w:t>
      </w:r>
      <w:r>
        <w:rPr>
          <w:rFonts w:hint="eastAsia" w:ascii="仿宋" w:hAnsi="仿宋" w:eastAsia="仿宋" w:cs="仿宋"/>
          <w:sz w:val="28"/>
          <w:szCs w:val="28"/>
        </w:rPr>
        <w:t>防洪度汛值班记录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5.2  </w:t>
      </w:r>
      <w:r>
        <w:rPr>
          <w:rFonts w:hint="eastAsia" w:ascii="仿宋" w:hAnsi="仿宋" w:eastAsia="仿宋" w:cs="仿宋"/>
          <w:sz w:val="28"/>
          <w:szCs w:val="28"/>
        </w:rPr>
        <w:t>防洪度汛巡查记录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5.3  </w:t>
      </w:r>
      <w:r>
        <w:rPr>
          <w:rFonts w:hint="eastAsia" w:ascii="仿宋" w:hAnsi="仿宋" w:eastAsia="仿宋" w:cs="仿宋"/>
          <w:sz w:val="28"/>
          <w:szCs w:val="28"/>
        </w:rPr>
        <w:t>安全生产事故隐患排查治理情况统计分析月（季）报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沈阳鑫通建设工程有限公司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二〇一九年一月十五日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6"/>
          <w:sz w:val="24"/>
          <w:szCs w:val="24"/>
        </w:rPr>
        <w:t>防洪度汛值班记录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>填写单位：</w:t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>编号：</w:t>
      </w:r>
    </w:p>
    <w:tbl>
      <w:tblPr>
        <w:tblStyle w:val="2"/>
        <w:tblW w:w="91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528"/>
        <w:gridCol w:w="2529"/>
        <w:gridCol w:w="2527"/>
      </w:tblGrid>
      <w:tr>
        <w:trPr>
          <w:trHeight w:val="577" w:hRule="exac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51" w:line="240" w:lineRule="auto"/>
              <w:ind w:left="389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带班人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51" w:line="240" w:lineRule="auto"/>
              <w:ind w:right="7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值班人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50" w:line="240" w:lineRule="auto"/>
              <w:ind w:left="28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值班日期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tabs>
                <w:tab w:val="left" w:pos="1559"/>
                <w:tab w:val="left" w:pos="2159"/>
              </w:tabs>
              <w:spacing w:before="88" w:line="240" w:lineRule="auto"/>
              <w:ind w:left="959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150" w:line="240" w:lineRule="auto"/>
              <w:ind w:right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天气情况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4" w:hRule="exac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36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值班记录</w:t>
            </w:r>
          </w:p>
        </w:tc>
        <w:tc>
          <w:tcPr>
            <w:tcW w:w="7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exac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before="12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ind w:left="336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处理过程</w:t>
            </w:r>
          </w:p>
        </w:tc>
        <w:tc>
          <w:tcPr>
            <w:tcW w:w="7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>备注：1、值班人员负责做好本日的防汛值班记录，24小时不准离岗、脱岗。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6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>2、值班领导负责做好汛期突发事件的处理。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6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21"/>
          <w:szCs w:val="21"/>
          <w:lang w:val="en-US" w:eastAsia="zh-CN"/>
        </w:rPr>
        <w:t>3、值班人员负责做好交接班工作。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防洪度汛巡查记录表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填写单位：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编号：</w:t>
      </w:r>
    </w:p>
    <w:tbl>
      <w:tblPr>
        <w:tblStyle w:val="2"/>
        <w:tblW w:w="8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3626"/>
        <w:gridCol w:w="1477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2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天气情况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2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巡查日期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巡查人</w:t>
            </w:r>
          </w:p>
        </w:tc>
        <w:tc>
          <w:tcPr>
            <w:tcW w:w="7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240" w:lineRule="exact"/>
              <w:ind w:left="468" w:right="468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汛期巡查情况</w:t>
            </w:r>
          </w:p>
        </w:tc>
        <w:tc>
          <w:tcPr>
            <w:tcW w:w="7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240" w:lineRule="exact"/>
              <w:ind w:left="362" w:right="365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防汛抢险执行情况</w:t>
            </w:r>
          </w:p>
        </w:tc>
        <w:tc>
          <w:tcPr>
            <w:tcW w:w="7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40" w:lineRule="exact"/>
              <w:ind w:left="45" w:right="45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防汛抢险设备、物资投入使用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7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>备</w:t>
            </w:r>
            <w:r>
              <w:rPr>
                <w:rFonts w:hint="eastAsia" w:ascii="仿宋" w:hAnsi="仿宋" w:eastAsia="仿宋" w:cs="仿宋"/>
                <w:w w:val="95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注</w:t>
            </w:r>
          </w:p>
        </w:tc>
        <w:tc>
          <w:tcPr>
            <w:tcW w:w="7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                                  填表人/日期：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587" w:right="1474" w:bottom="1474" w:left="1587" w:header="851" w:footer="992" w:gutter="0"/>
          <w:cols w:space="0" w:num="1"/>
          <w:rtlGutter w:val="0"/>
          <w:docGrid w:type="lines" w:linePitch="34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安全生产事故隐患排查治理情况统计分析月（季）报表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单位（盖章）：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统计时段：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年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月</w:t>
      </w:r>
    </w:p>
    <w:tbl>
      <w:tblPr>
        <w:tblStyle w:val="2"/>
        <w:tblW w:w="145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803"/>
        <w:gridCol w:w="771"/>
        <w:gridCol w:w="694"/>
        <w:gridCol w:w="993"/>
        <w:gridCol w:w="992"/>
        <w:gridCol w:w="850"/>
        <w:gridCol w:w="709"/>
        <w:gridCol w:w="992"/>
        <w:gridCol w:w="993"/>
        <w:gridCol w:w="992"/>
        <w:gridCol w:w="992"/>
        <w:gridCol w:w="851"/>
        <w:gridCol w:w="850"/>
        <w:gridCol w:w="851"/>
        <w:gridCol w:w="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55" w:line="240" w:lineRule="auto"/>
              <w:ind w:left="99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一般事故隐患</w:t>
            </w:r>
          </w:p>
        </w:tc>
        <w:tc>
          <w:tcPr>
            <w:tcW w:w="100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55" w:line="240" w:lineRule="auto"/>
              <w:ind w:right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重大事故隐患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9" w:line="237" w:lineRule="auto"/>
              <w:ind w:left="186" w:right="186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隐患排查数</w:t>
            </w:r>
          </w:p>
          <w:p>
            <w:pPr>
              <w:pStyle w:val="4"/>
              <w:spacing w:line="274" w:lineRule="exact"/>
              <w:ind w:left="103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72" w:lineRule="exact"/>
              <w:ind w:left="171" w:right="17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已整改数</w:t>
            </w:r>
          </w:p>
          <w:p>
            <w:pPr>
              <w:pStyle w:val="4"/>
              <w:spacing w:line="249" w:lineRule="exact"/>
              <w:ind w:left="10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72" w:lineRule="exact"/>
              <w:ind w:left="237" w:right="132" w:hanging="10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整改率</w:t>
            </w:r>
          </w:p>
          <w:p>
            <w:pPr>
              <w:pStyle w:val="4"/>
              <w:spacing w:line="249" w:lineRule="exact"/>
              <w:ind w:left="10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（%）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9" w:line="237" w:lineRule="auto"/>
              <w:ind w:left="280" w:right="283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整改投入资金</w:t>
            </w:r>
          </w:p>
          <w:p>
            <w:pPr>
              <w:pStyle w:val="4"/>
              <w:spacing w:line="274" w:lineRule="exact"/>
              <w:ind w:left="10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（万元）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9" w:line="237" w:lineRule="auto"/>
              <w:ind w:left="281" w:right="28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隐患排查数</w:t>
            </w:r>
          </w:p>
          <w:p>
            <w:pPr>
              <w:pStyle w:val="4"/>
              <w:spacing w:line="274" w:lineRule="exact"/>
              <w:ind w:left="17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72" w:lineRule="exact"/>
              <w:ind w:left="210" w:right="20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已整改数</w:t>
            </w:r>
          </w:p>
          <w:p>
            <w:pPr>
              <w:pStyle w:val="4"/>
              <w:spacing w:line="249" w:lineRule="exact"/>
              <w:ind w:right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4"/>
              <w:spacing w:line="272" w:lineRule="exact"/>
              <w:ind w:left="243" w:right="141" w:hanging="106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整改率</w:t>
            </w:r>
          </w:p>
          <w:p>
            <w:pPr>
              <w:pStyle w:val="4"/>
              <w:spacing w:line="249" w:lineRule="exact"/>
              <w:ind w:left="102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（%）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9" w:line="237" w:lineRule="auto"/>
              <w:ind w:left="281" w:right="28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整改投入资金</w:t>
            </w:r>
          </w:p>
          <w:p>
            <w:pPr>
              <w:pStyle w:val="4"/>
              <w:spacing w:line="274" w:lineRule="exact"/>
              <w:ind w:left="10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（万元）</w:t>
            </w:r>
          </w:p>
        </w:tc>
        <w:tc>
          <w:tcPr>
            <w:tcW w:w="6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2" w:line="240" w:lineRule="auto"/>
              <w:ind w:left="1564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未整改的重大事故隐患列入治理计划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1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right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计划</w:t>
            </w:r>
          </w:p>
          <w:p>
            <w:pPr>
              <w:pStyle w:val="4"/>
              <w:spacing w:line="271" w:lineRule="exact"/>
              <w:ind w:right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整改数</w:t>
            </w:r>
          </w:p>
          <w:p>
            <w:pPr>
              <w:pStyle w:val="4"/>
              <w:spacing w:line="273" w:lineRule="exact"/>
              <w:ind w:right="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7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落实目</w:t>
            </w:r>
          </w:p>
          <w:p>
            <w:pPr>
              <w:pStyle w:val="4"/>
              <w:spacing w:line="271" w:lineRule="exact"/>
              <w:ind w:left="17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标任务</w:t>
            </w:r>
          </w:p>
          <w:p>
            <w:pPr>
              <w:pStyle w:val="4"/>
              <w:spacing w:line="273" w:lineRule="exact"/>
              <w:ind w:left="17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77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落实经</w:t>
            </w:r>
          </w:p>
          <w:p>
            <w:pPr>
              <w:pStyle w:val="4"/>
              <w:spacing w:line="271" w:lineRule="exact"/>
              <w:ind w:left="177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费物资</w:t>
            </w:r>
          </w:p>
          <w:p>
            <w:pPr>
              <w:pStyle w:val="4"/>
              <w:spacing w:line="273" w:lineRule="exact"/>
              <w:ind w:left="177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04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落实机</w:t>
            </w:r>
          </w:p>
          <w:p>
            <w:pPr>
              <w:pStyle w:val="4"/>
              <w:spacing w:line="271" w:lineRule="exact"/>
              <w:ind w:left="104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构人员</w:t>
            </w:r>
          </w:p>
          <w:p>
            <w:pPr>
              <w:pStyle w:val="4"/>
              <w:spacing w:line="273" w:lineRule="exact"/>
              <w:ind w:left="104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落实整</w:t>
            </w:r>
          </w:p>
          <w:p>
            <w:pPr>
              <w:pStyle w:val="4"/>
              <w:spacing w:line="271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改期限</w:t>
            </w:r>
          </w:p>
          <w:p>
            <w:pPr>
              <w:pStyle w:val="4"/>
              <w:spacing w:line="273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落实应</w:t>
            </w:r>
          </w:p>
          <w:p>
            <w:pPr>
              <w:pStyle w:val="4"/>
              <w:spacing w:line="271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急措施</w:t>
            </w:r>
          </w:p>
          <w:p>
            <w:pPr>
              <w:pStyle w:val="4"/>
              <w:spacing w:line="273" w:lineRule="exact"/>
              <w:ind w:left="105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（项）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63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落实整</w:t>
            </w:r>
          </w:p>
          <w:p>
            <w:pPr>
              <w:pStyle w:val="4"/>
              <w:spacing w:before="26" w:line="272" w:lineRule="exact"/>
              <w:ind w:left="113" w:right="112" w:firstLine="5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改资金(万元）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44" w:line="240" w:lineRule="auto"/>
              <w:ind w:left="102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本月数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before="62" w:line="240" w:lineRule="auto"/>
              <w:ind w:left="102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1至本月数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 w:hRule="exact"/>
          <w:jc w:val="center"/>
        </w:trPr>
        <w:tc>
          <w:tcPr>
            <w:tcW w:w="145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39" w:lineRule="exact"/>
              <w:ind w:left="102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事故隐患排查治理情况分析：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单位主要负责人（签字）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587" w:right="1474" w:bottom="1474" w:left="1587" w:header="851" w:footer="992" w:gutter="0"/>
          <w:pgNumType w:fmt="decimal"/>
          <w:cols w:space="0" w:num="1"/>
          <w:rtlGutter w:val="0"/>
          <w:docGrid w:type="lines" w:linePitch="326" w:charSpace="0"/>
        </w:sectPr>
      </w:pPr>
    </w:p>
    <w:p/>
    <w:sectPr>
      <w:pgSz w:w="11910" w:h="16840"/>
      <w:pgMar w:top="1587" w:right="1474" w:bottom="1474" w:left="1587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93F64"/>
    <w:rsid w:val="1BB93F64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2019-11-10T02:03:00Z</dcterms:created>
  <dc:creator>走走停停</dc:creator>
  <cp:lastModifiedBy>走走停停</cp:lastModifiedBy>
  <dcterms:modified xsi:type="dcterms:W3CDTF">2019-11-10T02:04:04Z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